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4" w:rsidRPr="00182A04" w:rsidRDefault="00182A04" w:rsidP="00182A04">
      <w:pPr>
        <w:spacing w:after="0" w:line="480" w:lineRule="auto"/>
        <w:jc w:val="center"/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</w:pPr>
    </w:p>
    <w:p w:rsidR="00182A04" w:rsidRPr="00182A04" w:rsidRDefault="00182A04" w:rsidP="00182A04">
      <w:pPr>
        <w:pStyle w:val="IntenseQuote"/>
        <w:pBdr>
          <w:top w:val="single" w:sz="4" w:space="31" w:color="5B9BD5" w:themeColor="accent1"/>
          <w:bottom w:val="single" w:sz="4" w:space="31" w:color="5B9BD5" w:themeColor="accent1"/>
        </w:pBdr>
        <w:bidi/>
        <w:rPr>
          <w:rFonts w:ascii="Traditional Arabic" w:hAnsi="Traditional Arabic" w:cs="Traditional Arabic"/>
          <w:i w:val="0"/>
          <w:iCs w:val="0"/>
          <w:color w:val="002060"/>
          <w:sz w:val="40"/>
          <w:szCs w:val="40"/>
        </w:rPr>
      </w:pPr>
      <w:r w:rsidRPr="00182A04">
        <w:rPr>
          <w:rFonts w:ascii="Traditional Arabic" w:hAnsi="Traditional Arabic" w:cs="Traditional Arabic"/>
          <w:i w:val="0"/>
          <w:iCs w:val="0"/>
          <w:color w:val="002060"/>
          <w:sz w:val="40"/>
          <w:szCs w:val="40"/>
          <w:rtl/>
        </w:rPr>
        <w:t>تحذير أمني</w:t>
      </w:r>
      <w:r>
        <w:rPr>
          <w:rFonts w:ascii="Traditional Arabic" w:hAnsi="Traditional Arabic" w:cs="Traditional Arabic" w:hint="cs"/>
          <w:i w:val="0"/>
          <w:iCs w:val="0"/>
          <w:color w:val="002060"/>
          <w:sz w:val="40"/>
          <w:szCs w:val="40"/>
          <w:rtl/>
        </w:rPr>
        <w:t xml:space="preserve"> حول فيروسات الفدية </w:t>
      </w:r>
      <w:r>
        <w:rPr>
          <w:rFonts w:ascii="Traditional Arabic" w:hAnsi="Traditional Arabic" w:cs="Traditional Arabic"/>
          <w:i w:val="0"/>
          <w:iCs w:val="0"/>
          <w:color w:val="002060"/>
          <w:sz w:val="40"/>
          <w:szCs w:val="40"/>
        </w:rPr>
        <w:t>RANSOMEWARE</w:t>
      </w:r>
    </w:p>
    <w:p w:rsidR="00182A04" w:rsidRPr="00D511D4" w:rsidRDefault="00182A04" w:rsidP="00182A04">
      <w:pPr>
        <w:pStyle w:val="IntenseQuote"/>
        <w:pBdr>
          <w:top w:val="single" w:sz="4" w:space="31" w:color="5B9BD5" w:themeColor="accent1"/>
          <w:bottom w:val="single" w:sz="4" w:space="31" w:color="5B9BD5" w:themeColor="accent1"/>
        </w:pBdr>
        <w:bidi/>
        <w:rPr>
          <w:rFonts w:ascii="Traditional Arabic" w:hAnsi="Traditional Arabic" w:cs="Traditional Arabic"/>
          <w:b/>
          <w:bCs/>
          <w:i w:val="0"/>
          <w:iCs w:val="0"/>
          <w:color w:val="000000" w:themeColor="text1"/>
          <w:sz w:val="36"/>
          <w:szCs w:val="36"/>
          <w:rtl/>
        </w:rPr>
      </w:pPr>
      <w:r w:rsidRPr="00D511D4">
        <w:rPr>
          <w:rFonts w:ascii="Traditional Arabic" w:hAnsi="Traditional Arabic" w:cs="Traditional Arabic"/>
          <w:b/>
          <w:bCs/>
          <w:i w:val="0"/>
          <w:iCs w:val="0"/>
          <w:color w:val="000000" w:themeColor="text1"/>
          <w:sz w:val="36"/>
          <w:szCs w:val="36"/>
          <w:rtl/>
        </w:rPr>
        <w:t>يستهدف هذا التحذير الأمني المؤسسات والشركات العامة والخاصة والأفراد</w:t>
      </w:r>
    </w:p>
    <w:p w:rsidR="00182A04" w:rsidRPr="00182A04" w:rsidRDefault="00182A04" w:rsidP="00182A04">
      <w:pPr>
        <w:bidi/>
      </w:pPr>
    </w:p>
    <w:p w:rsidR="00760709" w:rsidRPr="000436A7" w:rsidRDefault="00760709" w:rsidP="00FB1AD9">
      <w:pPr>
        <w:spacing w:after="0" w:line="240" w:lineRule="auto"/>
        <w:rPr>
          <w:rFonts w:ascii="Simplified Arabic" w:eastAsia="Times New Roman" w:hAnsi="Simplified Arabic" w:cs="Simplified Arabic"/>
          <w:color w:val="002060"/>
          <w:rtl/>
        </w:rPr>
      </w:pPr>
    </w:p>
    <w:p w:rsidR="00895BB0" w:rsidRDefault="00D511D4" w:rsidP="00D511D4">
      <w:pPr>
        <w:spacing w:after="0" w:line="240" w:lineRule="auto"/>
        <w:jc w:val="center"/>
        <w:rPr>
          <w:rStyle w:val="tlid-translation"/>
          <w:rFonts w:ascii="Simplified Arabic" w:eastAsia="Times New Roman" w:hAnsi="Simplified Arabic" w:cs="Simplified Arabic"/>
          <w:color w:val="002060"/>
          <w:sz w:val="36"/>
          <w:szCs w:val="36"/>
          <w:rtl/>
          <w:lang w:bidi="ar-SY"/>
        </w:rPr>
      </w:pPr>
      <w:r>
        <w:rPr>
          <w:rStyle w:val="tlid-translation"/>
          <w:rFonts w:ascii="Simplified Arabic" w:eastAsia="Times New Roman" w:hAnsi="Simplified Arabic" w:cs="Simplified Arabic" w:hint="cs"/>
          <w:color w:val="002060"/>
          <w:sz w:val="36"/>
          <w:szCs w:val="36"/>
          <w:rtl/>
          <w:lang w:bidi="ar-SY"/>
        </w:rPr>
        <w:t>مركز أمن المعلومات</w:t>
      </w:r>
    </w:p>
    <w:p w:rsidR="00D511D4" w:rsidRPr="000436A7" w:rsidRDefault="00D511D4" w:rsidP="00D511D4">
      <w:pPr>
        <w:spacing w:after="0" w:line="240" w:lineRule="auto"/>
        <w:jc w:val="center"/>
        <w:rPr>
          <w:rStyle w:val="tlid-translation"/>
          <w:rFonts w:ascii="Simplified Arabic" w:eastAsia="Times New Roman" w:hAnsi="Simplified Arabic" w:cs="Simplified Arabic" w:hint="cs"/>
          <w:color w:val="002060"/>
          <w:sz w:val="36"/>
          <w:szCs w:val="36"/>
          <w:rtl/>
          <w:lang w:bidi="ar-SY"/>
        </w:rPr>
      </w:pPr>
      <w:r>
        <w:rPr>
          <w:rStyle w:val="tlid-translation"/>
          <w:rFonts w:ascii="Simplified Arabic" w:eastAsia="Times New Roman" w:hAnsi="Simplified Arabic" w:cs="Simplified Arabic" w:hint="cs"/>
          <w:color w:val="002060"/>
          <w:sz w:val="36"/>
          <w:szCs w:val="36"/>
          <w:rtl/>
          <w:lang w:bidi="ar-SY"/>
        </w:rPr>
        <w:t>6_9_2021</w:t>
      </w:r>
    </w:p>
    <w:p w:rsidR="00182A04" w:rsidRDefault="00182A04" w:rsidP="0046220E">
      <w:pPr>
        <w:bidi/>
        <w:jc w:val="both"/>
        <w:rPr>
          <w:rStyle w:val="tlid-translation"/>
          <w:rFonts w:ascii="Traditional Arabic" w:hAnsi="Traditional Arabic" w:cs="Traditional Arabic"/>
          <w:b/>
          <w:bCs/>
          <w:sz w:val="32"/>
          <w:szCs w:val="32"/>
          <w:lang w:bidi="ar-SY"/>
        </w:rPr>
      </w:pPr>
    </w:p>
    <w:p w:rsidR="009C1866" w:rsidRPr="003B50CE" w:rsidRDefault="009C1866" w:rsidP="003B50CE">
      <w:pPr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0" w:name="_GoBack"/>
      <w:bookmarkEnd w:id="0"/>
      <w:r w:rsidRPr="003B50C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مقدمة</w:t>
      </w:r>
      <w:r w:rsidR="00F73176" w:rsidRPr="003B50C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A245C9" w:rsidRDefault="002B147B" w:rsidP="00B83194">
      <w:pPr>
        <w:bidi/>
        <w:spacing w:after="0"/>
        <w:jc w:val="both"/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</w:pP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نظراً لازدياد معدل الهجمات السبرانية باستخدام فيروسات الفدية حول العالم</w:t>
      </w:r>
      <w:r w:rsid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والتطور المستمر في تقنيات وأساليب الهجوم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،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وتسجيل العديد من الإصابات التي طالت شركات </w:t>
      </w:r>
      <w:r w:rsidR="00B2615F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عالمية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كبرى</w:t>
      </w:r>
      <w:r w:rsidR="00B2615F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،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ورضوخ هذه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لشركات لمطالب المهاجمين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، و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تزايد عدد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حالات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ال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إصابة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بهذه الفيروسات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على الشبكة السورية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، حيث تبلغ مركز أمن المعلومات بالعديد من الإصابات </w:t>
      </w:r>
      <w:r w:rsidR="00B2615F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(خمس حالات إصابة خلال شهر آب فقط)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طالت مؤسسات وأفراد، </w:t>
      </w:r>
      <w:r w:rsidR="0001631D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وفي إطار مهام مركز أمن المعلومات في التحذير المبكر من الأخطار المعلوماتية والتوعية الأمنية</w:t>
      </w:r>
      <w:r w:rsidR="0001631D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وجدنا أهمية بالغة في إعادة التحذير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من مخاطر هذه البرمجيات الخبيثة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وتوعية مستخدمي الشبكة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السورية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حول أفضل</w:t>
      </w:r>
      <w:r w:rsidR="0001631D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الطرق والممارسات للوقاية منها</w:t>
      </w:r>
      <w:r w:rsidR="0001631D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01631D" w:rsidRPr="0001631D" w:rsidRDefault="0001631D" w:rsidP="0001631D">
      <w:pPr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01631D"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فما هي فيروسات الفدية وطرق انتشارها وكيف نحمي أنفسنا منها؟ </w:t>
      </w:r>
    </w:p>
    <w:p w:rsidR="00B11146" w:rsidRPr="00895BB0" w:rsidRDefault="00B11146" w:rsidP="00895BB0">
      <w:p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</w:pPr>
      <w:r w:rsidRPr="00895BB0"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lastRenderedPageBreak/>
        <w:t>فيروس الفدية: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وهو نوع من أنواع البرمجيات الخبيثة </w:t>
      </w:r>
      <w:r w:rsidR="0060259D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تعمل 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عند الإصابة </w:t>
      </w:r>
      <w:r w:rsidR="0060259D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على تشفير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كافة البيانات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الموجودة على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نظام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D2790B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الضحية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245D07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(</w:t>
      </w:r>
      <w:r w:rsidR="00B2615F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سواء كان حاسب أو مخدم أو هاتف </w:t>
      </w:r>
      <w:r w:rsidR="00245D07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ذكي)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تمنعه من الوصول إليها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أو استخدامها</w:t>
      </w:r>
      <w:r w:rsidR="004A302D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،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بعد الانتهاء من عملية 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تشفير </w:t>
      </w:r>
      <w:r w:rsidR="00A245C9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الملفات 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تظهر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رسالة </w:t>
      </w:r>
      <w:r w:rsidR="00AC33D5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للضحية 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محتواها أنه يجب دفع مبلغ مالي (فدية) للحصول على مفتاح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ل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فك 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ت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شف</w:t>
      </w:r>
      <w:r w:rsidR="00BD4C14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ير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الملفات </w:t>
      </w:r>
      <w:r w:rsidR="00DA1C42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وإتاحة إمكانية الوصول إليها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مرة أخرى.</w:t>
      </w:r>
    </w:p>
    <w:p w:rsidR="0046220E" w:rsidRDefault="00AC33D5" w:rsidP="0001631D">
      <w:pPr>
        <w:bidi/>
        <w:jc w:val="both"/>
        <w:rPr>
          <w:rStyle w:val="tlid-translation"/>
          <w:rFonts w:ascii="Traditional Arabic" w:hAnsi="Traditional Arabic" w:cs="Traditional Arabic"/>
          <w:color w:val="000000" w:themeColor="text1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/>
          <w:color w:val="000000" w:themeColor="text1"/>
          <w:sz w:val="28"/>
          <w:szCs w:val="28"/>
          <w:rtl/>
          <w:lang w:bidi="ar-SY"/>
        </w:rPr>
        <w:t>تتسبّب بشكل أساسي في فقدان البيانات</w:t>
      </w:r>
      <w:r w:rsidRPr="00895BB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</w:t>
      </w:r>
      <w:r w:rsidRPr="00895BB0">
        <w:rPr>
          <w:rStyle w:val="tlid-translation"/>
          <w:rFonts w:ascii="Traditional Arabic" w:hAnsi="Traditional Arabic" w:cs="Traditional Arabic"/>
          <w:color w:val="000000" w:themeColor="text1"/>
          <w:sz w:val="28"/>
          <w:szCs w:val="28"/>
          <w:rtl/>
          <w:lang w:bidi="ar-SY"/>
        </w:rPr>
        <w:t xml:space="preserve">توقف الأعمال، وخسائر مادية ومعنوية، بالإضافة إلى مخاطر تشويه السمعة وتراجع ثقة العملاء بالخدمات، والتكاليف التي </w:t>
      </w:r>
      <w:r w:rsidR="00245D07" w:rsidRPr="00895BB0">
        <w:rPr>
          <w:rStyle w:val="tlid-translation"/>
          <w:rFonts w:ascii="Traditional Arabic" w:hAnsi="Traditional Arabic" w:cs="Traditional Arabic"/>
          <w:color w:val="000000" w:themeColor="text1"/>
          <w:sz w:val="28"/>
          <w:szCs w:val="28"/>
          <w:rtl/>
          <w:lang w:bidi="ar-SY"/>
        </w:rPr>
        <w:t>يتطلبها استعادة النظام من وقت وجهد ومال</w:t>
      </w:r>
      <w:r w:rsidRPr="00895BB0">
        <w:rPr>
          <w:rStyle w:val="tlid-translation"/>
          <w:rFonts w:ascii="Traditional Arabic" w:hAnsi="Traditional Arabic" w:cs="Traditional Arabic"/>
          <w:color w:val="000000" w:themeColor="text1"/>
          <w:sz w:val="28"/>
          <w:szCs w:val="28"/>
          <w:rtl/>
          <w:lang w:bidi="ar-SY"/>
        </w:rPr>
        <w:t>.</w:t>
      </w:r>
    </w:p>
    <w:p w:rsidR="00D511D4" w:rsidRDefault="00182A04" w:rsidP="00D511D4">
      <w:pPr>
        <w:bidi/>
        <w:jc w:val="center"/>
        <w:rPr>
          <w:rStyle w:val="tlid-translation"/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Style w:val="tlid-translation"/>
          <w:rFonts w:ascii="Traditional Arabic" w:hAnsi="Traditional Arabic" w:cs="Traditional Arabic"/>
          <w:noProof/>
          <w:color w:val="000000" w:themeColor="text1"/>
          <w:sz w:val="28"/>
          <w:szCs w:val="28"/>
          <w:rtl/>
        </w:rPr>
        <w:drawing>
          <wp:inline distT="0" distB="0" distL="0" distR="0" wp14:anchorId="49D9A07F" wp14:editId="3CEF0A85">
            <wp:extent cx="5821045" cy="3133725"/>
            <wp:effectExtent l="0" t="0" r="825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194" w:rsidRDefault="00B83194" w:rsidP="00D511D4">
      <w:pPr>
        <w:bidi/>
        <w:jc w:val="both"/>
        <w:rPr>
          <w:rStyle w:val="tlid-translation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BD4C14" w:rsidRPr="0046220E" w:rsidRDefault="00BD4C14" w:rsidP="009E20B6">
      <w:pPr>
        <w:bidi/>
        <w:spacing w:after="0"/>
        <w:jc w:val="both"/>
        <w:rPr>
          <w:rStyle w:val="tlid-translation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طرق الإصابة:</w:t>
      </w:r>
    </w:p>
    <w:p w:rsidR="00A245C9" w:rsidRPr="0046220E" w:rsidRDefault="00A245C9" w:rsidP="00ED5951">
      <w:pPr>
        <w:bidi/>
        <w:spacing w:after="0"/>
        <w:jc w:val="both"/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نعرض فيما</w:t>
      </w:r>
      <w:r w:rsidR="00295D8A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يلي أشهر طرق الإصابة بهذه البرمجيات الخبيثة:</w:t>
      </w:r>
    </w:p>
    <w:p w:rsidR="00C83571" w:rsidRPr="00B83194" w:rsidRDefault="00B83194" w:rsidP="00B83194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تحميل وتثبيت برمجيات </w:t>
      </w: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(برامج-أدوات-ألعاب....)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غير </w:t>
      </w: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نظامية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أو مجانية على النظام مباشرة</w:t>
      </w: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من مواقع </w:t>
      </w:r>
      <w:r w:rsidR="00C83571" w:rsidRPr="00B8319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ويب</w:t>
      </w:r>
      <w:r w:rsidR="00BD4C14" w:rsidRPr="00B83194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EB3A5B" w:rsidRPr="00B8319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غير آمنة </w:t>
      </w:r>
      <w:r w:rsidR="00295D8A" w:rsidRPr="00B8319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أو زائفة</w:t>
      </w: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. </w:t>
      </w:r>
    </w:p>
    <w:p w:rsidR="00C83571" w:rsidRPr="00895BB0" w:rsidRDefault="00C83571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تصفّح 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مواقع 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إباحية </w:t>
      </w:r>
      <w:r w:rsidR="00B8319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أو الإعلانات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والتي يتم من خلالها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إعادة توجيه المتصفح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(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redirection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)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CF06F2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إلى صفحات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لم يطلبها المستخدم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قد تحتوي على برمجيات خبيثة.</w:t>
      </w:r>
    </w:p>
    <w:p w:rsidR="00EB3A5B" w:rsidRPr="00895BB0" w:rsidRDefault="00BD4C14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فتح 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مرفقات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</w:t>
      </w:r>
      <w:r w:rsidR="00CF06F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روابط 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في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البريد الالكتروني 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التي ترد من عناوين مجهولة (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Spam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)</w:t>
      </w:r>
      <w:r w:rsidR="00DA1C4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CF06F2" w:rsidRPr="00895BB0" w:rsidRDefault="00CF06F2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lastRenderedPageBreak/>
        <w:t>فتح الروابط ال</w:t>
      </w:r>
      <w:r w:rsidR="00AC33D5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واردة في رسائل تطبيقات المحادث</w:t>
      </w:r>
      <w:r w:rsidR="00AC33D5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ة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AC33D5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الفورية 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أو ضمن المنشورات أو التعليق</w:t>
      </w:r>
      <w:r w:rsidR="00AC33D5"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ات على وسائل التواصل الاجتماعي</w:t>
      </w:r>
      <w:r w:rsidR="00AC33D5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CF06F2" w:rsidRPr="00895BB0" w:rsidRDefault="00CF06F2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فتح الروابط التي تصل عبر رسائل</w:t>
      </w:r>
      <w:r w:rsidR="00295D8A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SMS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من عناوين خارجية مجهولة.</w:t>
      </w:r>
    </w:p>
    <w:p w:rsidR="00DA1C42" w:rsidRPr="00895BB0" w:rsidRDefault="00DA1C42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تداول أقراص التخزين القابلة للإزالة (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HD</w:t>
      </w:r>
      <w:r w:rsidR="00295D8A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,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 Flash Memory</w:t>
      </w:r>
      <w:r w:rsidR="00295D8A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,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 CD , DVD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)</w:t>
      </w:r>
      <w:r w:rsidR="00295D8A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.</w:t>
      </w:r>
    </w:p>
    <w:p w:rsidR="00245D07" w:rsidRPr="00895BB0" w:rsidRDefault="00245D07" w:rsidP="00895BB0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تجاهل التحذيرات الأمنية التي تطلقها تجهيزات أو برمجيات أو ميزات الحماية الأمنية.</w:t>
      </w:r>
    </w:p>
    <w:p w:rsidR="004A302D" w:rsidRPr="00895BB0" w:rsidRDefault="00DA1C42" w:rsidP="0046220E">
      <w:pPr>
        <w:pStyle w:val="ListParagraph"/>
        <w:numPr>
          <w:ilvl w:val="0"/>
          <w:numId w:val="6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استخدام بروتوكولات </w:t>
      </w:r>
      <w:r w:rsidR="00560FF8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تخاطب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غير آمنة 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مثل بروتوكول الاتصال بسطح المكتب </w:t>
      </w:r>
      <w:r w:rsid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عن بعد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(</w:t>
      </w:r>
      <w:r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RDP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) </w:t>
      </w:r>
      <w:r w:rsidR="00560FF8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عل</w:t>
      </w:r>
      <w:r w:rsidR="00AC33D5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ى</w:t>
      </w:r>
      <w:r w:rsidR="00560FF8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نظم تشغيل ويندوز</w:t>
      </w:r>
      <w:r w:rsidR="00EC3523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 و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وجود ث</w:t>
      </w:r>
      <w:r w:rsidR="00295D8A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غرات أمنية في النظم المعلوماتية يت</w:t>
      </w:r>
      <w:r w:rsidR="00560FF8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م استغلالها لاختراق هذه النظم وزرع البرمجيات الخبيثة.</w:t>
      </w:r>
    </w:p>
    <w:p w:rsidR="00FC247B" w:rsidRPr="0046220E" w:rsidRDefault="004A302D" w:rsidP="009E20B6">
      <w:pPr>
        <w:bidi/>
        <w:spacing w:after="0"/>
        <w:jc w:val="both"/>
        <w:rPr>
          <w:rStyle w:val="tlid-translation"/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طرق </w:t>
      </w:r>
      <w:r w:rsidR="0046220E" w:rsidRPr="0046220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الوقاية</w:t>
      </w:r>
      <w:r w:rsidR="00EC3523" w:rsidRPr="0046220E">
        <w:rPr>
          <w:rStyle w:val="tlid-translation"/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:</w:t>
      </w:r>
    </w:p>
    <w:p w:rsidR="00B2615F" w:rsidRPr="00895BB0" w:rsidRDefault="00560FF8" w:rsidP="00D511D4">
      <w:p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من الصعب جداً معالجة آثار الإصابة بفيروسات الفدية</w:t>
      </w:r>
      <w:r w:rsidR="00115F5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مالم تتخذ الإجراءات الوقائية،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وتعتبر الإصابة بالإصدارات الحديثة منها</w:t>
      </w:r>
      <w:r w:rsidR="00115F5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115F5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أو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التي تعتمد منهجية التشفير </w:t>
      </w:r>
      <w:r w:rsidR="00115F5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بالاتصال المباشر </w:t>
      </w:r>
      <w:r w:rsidR="00115F52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(Online)</w:t>
      </w:r>
      <w:r w:rsidR="00115F52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مستحيلة العلاج كما تؤكد شركات عالمية متخصصة بالحماية، </w:t>
      </w:r>
      <w:r w:rsidR="00B2615F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وفي حالات خاصة قليلة جداً يم</w:t>
      </w:r>
      <w:r w:rsidR="00E1388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كن استعادة البيانات بعد تشفيرها، الكثير من فيروسات الفدية المنتشرة حالياً تقوم بتعطيل أو تخريب كافة الحلول الم</w:t>
      </w:r>
      <w:r w:rsidR="00D511D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مكنة </w:t>
      </w:r>
      <w:r w:rsidR="00D511D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التي تتيحها الشركات المطورة </w:t>
      </w:r>
      <w:r w:rsidR="00D511D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لاستعادة الملفات أو النظام.</w:t>
      </w:r>
    </w:p>
    <w:p w:rsidR="00560FF8" w:rsidRPr="00895BB0" w:rsidRDefault="00115F52" w:rsidP="00895BB0">
      <w:p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وطالما أننا مضطرون لاستخدام البرمجيات الغير مرخصة </w:t>
      </w:r>
      <w:r w:rsidR="00AF2594" w:rsidRPr="00895BB0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(cracked)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أو المجانية</w:t>
      </w:r>
      <w:r w:rsidR="00B2615F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وعدم وجود خبرة كافية لدى </w:t>
      </w:r>
      <w:r w:rsidR="00B71D71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أغلب مستخدمي شبكة الانترنت، وإغف</w:t>
      </w:r>
      <w:r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 أهمية الأمن السبراني لدى الكثير من الجهات العامة والخاصة، فنحن معرضون في أي لحظة للإصابة بفيروسات الفدية أفراداً أو مؤسسات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، وعليه فإن اتخاذ مجموعة من </w:t>
      </w:r>
      <w:r w:rsid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الإجراءات الوقائية هو أفضل طرق الحماية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D2790B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ويسهل عملية ا</w:t>
      </w:r>
      <w:r w:rsidR="004F711D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لمعالجة بعد الإصابة وتخفيف الأ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ضرار </w:t>
      </w:r>
      <w:r w:rsidR="00B2615F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الكارثية 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الناجمة عنها</w:t>
      </w:r>
      <w:r w:rsidR="00B2615F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="00AF2594" w:rsidRPr="00895BB0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وأهمها:</w:t>
      </w:r>
    </w:p>
    <w:p w:rsidR="00AF2594" w:rsidRPr="0046220E" w:rsidRDefault="00AF2594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تنصيب برامج مضادة للبرمجيات الخبيثة ذات تصنيف عالمي جيد وتحديثها بشكل مستمر وعدم تجاهل ا</w:t>
      </w:r>
      <w:r w:rsidR="00651C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لتحذيرات التي ت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عرضها </w:t>
      </w:r>
      <w:r w:rsidR="00D511D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للمستخدم، وأقل الإيمان تفعيل كافة ميزات الحماية التي توفرها نظم التشغيل مثل </w:t>
      </w:r>
      <w:r w:rsidR="00D511D4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windows security</w:t>
      </w:r>
      <w:r w:rsidR="00D511D4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071277" w:rsidRPr="0046220E" w:rsidRDefault="00071277" w:rsidP="00894FB9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عدم فتح أي مستندات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أو روابط أ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ملفات مرفقة من البريد ا</w:t>
      </w:r>
      <w:r w:rsidR="00651C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لإلكتروني دون التأكّد من مصدر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تلك الملفّات أولاَ</w:t>
      </w:r>
      <w:r w:rsidR="00651C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 وإعلام مدير الشبكة أو مسؤول أمن المعلومات في المؤسسة أو استشارة شخص خبير في هذا المجال.</w:t>
      </w:r>
    </w:p>
    <w:p w:rsidR="009C6A67" w:rsidRPr="0046220E" w:rsidRDefault="009C6A67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إنشاء بيئة افتراضية معزولة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(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VM</w:t>
      </w:r>
      <w:r w:rsidR="00651C81"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ware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 _ VB</w:t>
      </w:r>
      <w:r w:rsidR="00651C81"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ox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)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لتجربة الكراك أو الباتش أو لفتح الملفات المحمّلة عبر البريد الالكتروني، </w:t>
      </w:r>
      <w:r w:rsidR="00E21F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هذه الطريقة تضمن عدم تعرّض الحاسب للإصابة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بالفيروس</w:t>
      </w:r>
      <w:r w:rsidR="00651C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بل تبقى الإصابة محصورة في البيئة الافتراضية.</w:t>
      </w:r>
    </w:p>
    <w:p w:rsidR="00C83571" w:rsidRPr="0046220E" w:rsidRDefault="00C83571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فحص أقراص التخزين القابلة للإزالة</w:t>
      </w:r>
      <w:r w:rsidR="00CF06F2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باستخدام برنامج مضاد الفيروسات،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والتأكد من خلوّها من </w:t>
      </w:r>
      <w:r w:rsidR="00651C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البرمج</w:t>
      </w:r>
      <w:r w:rsidR="007320A5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يات الخبيثة قبل استخدامها.</w:t>
      </w:r>
    </w:p>
    <w:p w:rsidR="00CF06F2" w:rsidRPr="0046220E" w:rsidRDefault="00CF06F2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lastRenderedPageBreak/>
        <w:t>أخد ال</w:t>
      </w:r>
      <w:r w:rsidR="00E74839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حيطة والحذر في تصفّح ال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</w:t>
      </w:r>
      <w:r w:rsidR="00E74839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نترنت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="00E74839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وعدم زيارة المواقع الغير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موثوقة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والحذر من النوافذ المنبثقة التي تجبر الضحية على خي</w:t>
      </w:r>
      <w:r w:rsid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ار واحد لإغلاق النافذة المنبثقة</w:t>
      </w:r>
      <w:r w:rsid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،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و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هنا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يجب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التنويه إلى أنه يجب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إغلاق هذه النوافذ من زر الإغلاق حصراً و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يجب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عدم ضغط أي زر ضمن النافذة وفي حال لم ي</w:t>
      </w:r>
      <w:r w:rsidR="0007127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تمكن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المستخدم </w:t>
      </w:r>
      <w:r w:rsidR="0007127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من معرفة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ما الذي يجب </w:t>
      </w:r>
      <w:r w:rsidR="0007127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فعله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ف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يجب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عليه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إغلاق المتصفح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بشكل كامل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.</w:t>
      </w:r>
    </w:p>
    <w:p w:rsidR="009C6A67" w:rsidRPr="0046220E" w:rsidRDefault="004A302D" w:rsidP="00894FB9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النسخ الاحتياطي</w:t>
      </w:r>
      <w:r w:rsidR="009C6A67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736E32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ل</w:t>
      </w:r>
      <w:r w:rsidR="009C6A67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ن</w:t>
      </w:r>
      <w:r w:rsidR="009C6A6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ظام</w:t>
      </w:r>
      <w:r w:rsidR="009C6A67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التشغيل</w:t>
      </w:r>
      <w:r w:rsidR="009C6A6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="00894FB9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وحفظ النسخة على وسائط تخزين خارجية،</w:t>
      </w:r>
      <w:r w:rsidR="009C6A6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ليتمك</w:t>
      </w:r>
      <w:r w:rsidR="0007127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ّ</w:t>
      </w:r>
      <w:r w:rsidR="009C6A67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ن المستخدم من </w:t>
      </w:r>
      <w:r w:rsidR="00736E32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استعادة النظام لما كان عليه</w:t>
      </w:r>
      <w:r w:rsidR="00736E32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قبل الإصابة</w:t>
      </w:r>
      <w:r w:rsidR="00F1011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،</w:t>
      </w:r>
      <w:r w:rsidR="009C6A67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</w:t>
      </w:r>
      <w:r w:rsidR="001D16AD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وتحديث نظم التشغيل</w:t>
      </w:r>
      <w:r w:rsidR="00BD482A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بشكل مستمر.</w:t>
      </w:r>
    </w:p>
    <w:p w:rsidR="00F10119" w:rsidRPr="0046220E" w:rsidRDefault="008B0779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إنشاء نسخ</w:t>
      </w:r>
      <w:r w:rsidR="00E21F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احتياطية من </w:t>
      </w:r>
      <w:r w:rsidR="00E21F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</w:t>
      </w:r>
      <w:r w:rsidR="00E21F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ملفّات</w:t>
      </w:r>
      <w:r w:rsidR="00E21F81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E21F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المهمّة </w:t>
      </w:r>
      <w:r w:rsid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وقواعد البيانات </w:t>
      </w:r>
      <w:r w:rsidR="00E21F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بشكل دوري وحفظها على</w:t>
      </w:r>
      <w:r w:rsidR="001D16AD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 xml:space="preserve"> وسائط تخزين خارجية وعدم وصلها </w:t>
      </w:r>
      <w:r w:rsidR="001D16AD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ب</w:t>
      </w:r>
      <w:r w:rsidR="00E21F81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أي ج</w:t>
      </w:r>
      <w:r w:rsidR="004A302D" w:rsidRPr="0046220E">
        <w:rPr>
          <w:rStyle w:val="tlid-translation"/>
          <w:rFonts w:ascii="Traditional Arabic" w:hAnsi="Traditional Arabic" w:cs="Traditional Arabic"/>
          <w:sz w:val="28"/>
          <w:szCs w:val="28"/>
          <w:rtl/>
          <w:lang w:bidi="ar-SY"/>
        </w:rPr>
        <w:t>هاز حاسوبي قبل التأكد من سلامته</w:t>
      </w:r>
      <w:r w:rsidR="00E74839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.</w:t>
      </w:r>
    </w:p>
    <w:p w:rsidR="00C83571" w:rsidRPr="0046220E" w:rsidRDefault="00736E32" w:rsidP="00894FB9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عدم استخدام خدمة الاتصال بسطح المكتب عن بعد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(RDP)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="008B0779"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-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خصوصاً لمخدمات نظم التشغيل ويندوز</w:t>
      </w:r>
      <w:r w:rsidR="008B0779"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-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إلا ضمن الشبكات الافتراضي</w:t>
      </w:r>
      <w:r w:rsidR="00894FB9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ة المحلية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 .(VPN</w:t>
      </w:r>
      <w:r w:rsidR="008B0779"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>s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) </w:t>
      </w:r>
      <w:r w:rsidR="00894FB9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</w:t>
      </w:r>
    </w:p>
    <w:p w:rsidR="00977662" w:rsidRPr="0046220E" w:rsidRDefault="008B0779" w:rsidP="00894FB9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استخدام نظم تشغيل لينوكس بتوزيعاتها المتعددة والتي تعتبر أقل تعرضاً للإصابة، والا</w:t>
      </w:r>
      <w:r w:rsidR="00894FB9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ستغناء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قدر الإمكان عن استخدام نظم تشغيل ويندوز</w:t>
      </w:r>
      <w:r w:rsidR="00BD482A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خصوصاً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D16AD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لتشغيل ا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لخدمات الحساسة</w:t>
      </w:r>
      <w:r w:rsidR="001D16AD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أو إدارتها عن بعد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1D16AD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وإيلاء نفس الأهمية لحماية الطرفيات المستخدمة للولوج للخدمات،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كما توفر العديد من توزيعات</w:t>
      </w:r>
      <w:r w:rsidR="00D2790B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لينوكس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إمكانية الوصول للخدمات عن طريق بروتوكولات آمنة مثل </w:t>
      </w:r>
      <w:r w:rsidRPr="0046220E">
        <w:rPr>
          <w:rStyle w:val="tlid-translation"/>
          <w:rFonts w:ascii="Traditional Arabic" w:hAnsi="Traditional Arabic" w:cs="Traditional Arabic"/>
          <w:sz w:val="28"/>
          <w:szCs w:val="28"/>
        </w:rPr>
        <w:t>SSH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أو عن طريق متصفحات الويب</w:t>
      </w:r>
      <w:r w:rsidR="00D2790B"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أو أدوات أخرى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B0779" w:rsidRPr="0046220E" w:rsidRDefault="00BD482A" w:rsidP="0046220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تطوير سياسات التحكم بالنفاذ وتطبيقها، والمراقبة والمتابعة للالتزام بها.</w:t>
      </w:r>
    </w:p>
    <w:p w:rsidR="00182A04" w:rsidRDefault="00BD482A" w:rsidP="009E20B6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</w:rPr>
      </w:pP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التوعية الأمنية المستمرة للموظفين بمختلف مستوياتهم الإدارية والفنية حول طرق الحماية والاستخدام الآمن لشبكة الانترنت والحد من مخاطر الهندسة 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>الاجتماعية</w:t>
      </w:r>
      <w:r w:rsidRPr="0046220E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B50CE" w:rsidRDefault="00E93854" w:rsidP="003B50CE">
      <w:pPr>
        <w:pStyle w:val="ListParagraph"/>
        <w:numPr>
          <w:ilvl w:val="0"/>
          <w:numId w:val="8"/>
        </w:numPr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</w:rPr>
      </w:pP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يجب على المؤسسات والشركات وقطاعات الأعمال والمصارف التي تقدم خدمات أو تمتلك بيانات حساسة أن تطور حلولاً أمنية متقدمة </w:t>
      </w:r>
      <w:r w:rsidR="009F6D61"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متناسبة مع درجة حساسية البيانات التي تمتلكها مثل نظام إدارة التهديدات والحوادث الأمنية </w:t>
      </w:r>
      <w:r w:rsidR="009F6D61">
        <w:rPr>
          <w:rStyle w:val="tlid-translation"/>
          <w:rFonts w:ascii="Traditional Arabic" w:hAnsi="Traditional Arabic" w:cs="Traditional Arabic"/>
          <w:sz w:val="28"/>
          <w:szCs w:val="28"/>
        </w:rPr>
        <w:t>SEIM</w:t>
      </w:r>
      <w:r w:rsidR="009F6D61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، وأن تطور نظام إدارة أمن المعلومات </w:t>
      </w:r>
      <w:r w:rsidR="009F6D61">
        <w:rPr>
          <w:rStyle w:val="tlid-translation"/>
          <w:rFonts w:ascii="Traditional Arabic" w:hAnsi="Traditional Arabic" w:cs="Traditional Arabic"/>
          <w:sz w:val="28"/>
          <w:szCs w:val="28"/>
          <w:lang w:bidi="ar-SY"/>
        </w:rPr>
        <w:t xml:space="preserve">ISMS </w:t>
      </w:r>
      <w:r w:rsidR="009F6D61">
        <w:rPr>
          <w:rStyle w:val="tlid-translation"/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المتناسب مع طبيعة عملها.</w:t>
      </w:r>
      <w:r>
        <w:rPr>
          <w:rStyle w:val="tlid-translation"/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3B50CE" w:rsidRPr="003B50CE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sz w:val="28"/>
          <w:szCs w:val="28"/>
        </w:rPr>
      </w:pPr>
    </w:p>
    <w:p w:rsidR="003B50CE" w:rsidRPr="00182A04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Style w:val="tlid-translation"/>
          <w:rFonts w:ascii="Traditional Arabic" w:hAnsi="Traditional Arabic" w:cs="Traditional Arabic"/>
          <w:sz w:val="28"/>
          <w:szCs w:val="28"/>
        </w:rPr>
        <w:t xml:space="preserve">   </w:t>
      </w:r>
      <w:r w:rsidR="00182A04">
        <w:rPr>
          <w:rStyle w:val="tlid-translation"/>
          <w:rFonts w:ascii="Traditional Arabic" w:hAnsi="Traditional Arabic" w:cs="Traditional Arabic"/>
          <w:sz w:val="28"/>
          <w:szCs w:val="28"/>
        </w:rPr>
        <w:t xml:space="preserve">   </w:t>
      </w: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  <w:t xml:space="preserve">إعداد </w:t>
      </w: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</w:rPr>
        <w:t xml:space="preserve">                  </w:t>
      </w:r>
    </w:p>
    <w:p w:rsidR="003B50CE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182A04"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</w:t>
      </w: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  <w:t>م. سُليمه كنينه</w:t>
      </w:r>
      <w:r w:rsidRPr="00182A04"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</w:t>
      </w:r>
    </w:p>
    <w:p w:rsidR="003B50CE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</w:p>
    <w:p w:rsidR="003B50CE" w:rsidRPr="00182A04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</w:rPr>
      </w:pPr>
      <w:r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</w:t>
      </w:r>
      <w:r w:rsidRPr="00182A04"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 </w:t>
      </w: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  <w:t>رئيس مركز أمن المعلومات</w:t>
      </w:r>
    </w:p>
    <w:p w:rsidR="003B50CE" w:rsidRPr="00182A04" w:rsidRDefault="003B50CE" w:rsidP="003B50CE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82A04">
        <w:rPr>
          <w:rStyle w:val="tlid-translation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Pr="00182A04"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  <w:t>المهندس سلمان سليمان</w:t>
      </w:r>
    </w:p>
    <w:p w:rsidR="0001631D" w:rsidRPr="00182A04" w:rsidRDefault="0001631D" w:rsidP="00E93854">
      <w:pPr>
        <w:pStyle w:val="ListParagraph"/>
        <w:bidi/>
        <w:jc w:val="both"/>
        <w:rPr>
          <w:rStyle w:val="tlid-translation"/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01631D" w:rsidRPr="00182A04" w:rsidSect="009E20B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97" w:rsidRDefault="008A6897" w:rsidP="00E47DA2">
      <w:pPr>
        <w:spacing w:after="0" w:line="240" w:lineRule="auto"/>
      </w:pPr>
      <w:r>
        <w:separator/>
      </w:r>
    </w:p>
  </w:endnote>
  <w:endnote w:type="continuationSeparator" w:id="0">
    <w:p w:rsidR="008A6897" w:rsidRDefault="008A6897" w:rsidP="00E4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A1" w:rsidRPr="00F16911" w:rsidRDefault="006A3CA1" w:rsidP="00F16911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color w:val="1F497C"/>
        <w:sz w:val="20"/>
        <w:szCs w:val="20"/>
      </w:rPr>
    </w:pPr>
    <w:r w:rsidRPr="00F16911">
      <w:rPr>
        <w:rFonts w:ascii="Cambria" w:hAnsi="Cambria" w:cs="Cambria"/>
        <w:color w:val="1F497C"/>
        <w:sz w:val="20"/>
        <w:szCs w:val="20"/>
      </w:rPr>
      <w:t>Tel: +963 11 3937032 Fax: +963 11 3937079 P. Box: 60 Sabb</w:t>
    </w:r>
    <w:r>
      <w:rPr>
        <w:rFonts w:ascii="Cambria" w:hAnsi="Cambria" w:cs="Cambria"/>
        <w:color w:val="1F497C"/>
        <w:sz w:val="20"/>
        <w:szCs w:val="20"/>
      </w:rPr>
      <w:t xml:space="preserve">ora E‐mail: </w:t>
    </w:r>
    <w:hyperlink r:id="rId1" w:history="1">
      <w:r w:rsidRPr="007F1658">
        <w:rPr>
          <w:rStyle w:val="Hyperlink"/>
          <w:rFonts w:ascii="Cambria" w:hAnsi="Cambria" w:cs="Cambria"/>
          <w:sz w:val="20"/>
          <w:szCs w:val="20"/>
        </w:rPr>
        <w:t>infosec@nans.gov.sy</w:t>
      </w:r>
    </w:hyperlink>
    <w:r>
      <w:rPr>
        <w:rFonts w:ascii="Cambria" w:hAnsi="Cambria" w:cs="Cambria"/>
        <w:color w:val="1F497C"/>
        <w:sz w:val="20"/>
        <w:szCs w:val="20"/>
      </w:rPr>
      <w:br/>
    </w:r>
  </w:p>
  <w:p w:rsidR="006A3CA1" w:rsidRPr="00F16911" w:rsidRDefault="006A3CA1" w:rsidP="00F16911">
    <w:pPr>
      <w:pStyle w:val="Footer"/>
      <w:jc w:val="center"/>
    </w:pPr>
    <w:r w:rsidRPr="00F16911">
      <w:rPr>
        <w:rFonts w:ascii="Cambria" w:hAnsi="Cambria" w:cs="Cambria"/>
        <w:color w:val="1F497C"/>
        <w:sz w:val="20"/>
        <w:szCs w:val="20"/>
      </w:rPr>
      <w:t>www.nans.gov.sy</w:t>
    </w:r>
  </w:p>
  <w:p w:rsidR="006A3CA1" w:rsidRDefault="006A3CA1" w:rsidP="00F16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97" w:rsidRDefault="008A6897" w:rsidP="00E47DA2">
      <w:pPr>
        <w:spacing w:after="0" w:line="240" w:lineRule="auto"/>
      </w:pPr>
      <w:r>
        <w:separator/>
      </w:r>
    </w:p>
  </w:footnote>
  <w:footnote w:type="continuationSeparator" w:id="0">
    <w:p w:rsidR="008A6897" w:rsidRDefault="008A6897" w:rsidP="00E4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3-Accent4"/>
      <w:bidiVisual/>
      <w:tblW w:w="12449" w:type="dxa"/>
      <w:jc w:val="center"/>
      <w:tblLook w:val="0260" w:firstRow="1" w:lastRow="1" w:firstColumn="0" w:lastColumn="0" w:noHBand="1" w:noVBand="0"/>
    </w:tblPr>
    <w:tblGrid>
      <w:gridCol w:w="3600"/>
      <w:gridCol w:w="4079"/>
      <w:gridCol w:w="4770"/>
    </w:tblGrid>
    <w:tr w:rsidR="006A3CA1" w:rsidRPr="00CB468E" w:rsidTr="005D15D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862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600" w:type="dxa"/>
          <w:vAlign w:val="center"/>
          <w:hideMark/>
        </w:tcPr>
        <w:p w:rsidR="006A3CA1" w:rsidRDefault="006A3CA1" w:rsidP="00F16911">
          <w:pPr>
            <w:bidi/>
            <w:jc w:val="center"/>
            <w:rPr>
              <w:rFonts w:asciiTheme="majorBidi" w:eastAsia="Times New Roman" w:hAnsiTheme="majorBidi" w:cstheme="majorBidi"/>
              <w:b w:val="0"/>
              <w:bCs w:val="0"/>
              <w:sz w:val="28"/>
              <w:szCs w:val="28"/>
              <w:lang w:bidi="ar-SY"/>
            </w:rPr>
          </w:pPr>
        </w:p>
        <w:p w:rsidR="006A3CA1" w:rsidRPr="00021480" w:rsidRDefault="006A3CA1" w:rsidP="00F16911">
          <w:pPr>
            <w:bidi/>
            <w:jc w:val="center"/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</w:pPr>
          <w:r w:rsidRPr="00021480"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  <w:t>الجمهورية العربية السورية</w:t>
          </w:r>
        </w:p>
        <w:p w:rsidR="006A3CA1" w:rsidRPr="00021480" w:rsidRDefault="009E20B6" w:rsidP="00F16911">
          <w:pPr>
            <w:bidi/>
            <w:jc w:val="center"/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lang w:bidi="ar-SY"/>
            </w:rPr>
          </w:pPr>
          <w:r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  <w:t>وزارة ال</w:t>
          </w:r>
          <w:r>
            <w:rPr>
              <w:rFonts w:asciiTheme="majorHAnsi" w:eastAsia="Times New Roman" w:hAnsiTheme="majorHAnsi" w:cstheme="majorHAnsi" w:hint="cs"/>
              <w:b w:val="0"/>
              <w:bCs w:val="0"/>
              <w:sz w:val="28"/>
              <w:szCs w:val="28"/>
              <w:rtl/>
              <w:lang w:bidi="ar-SY"/>
            </w:rPr>
            <w:t>ا</w:t>
          </w:r>
          <w:r w:rsidR="006A3CA1" w:rsidRPr="00021480"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  <w:t>تصالات والتقانة</w:t>
          </w:r>
        </w:p>
        <w:p w:rsidR="006A3CA1" w:rsidRPr="00021480" w:rsidRDefault="006A3CA1" w:rsidP="00F16911">
          <w:pPr>
            <w:bidi/>
            <w:jc w:val="center"/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</w:pPr>
          <w:r w:rsidRPr="00021480"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  <w:t>الهيئة الوطنية لخدمات الشبكة</w:t>
          </w:r>
        </w:p>
        <w:p w:rsidR="006A3CA1" w:rsidRPr="00CB468E" w:rsidRDefault="006A3CA1" w:rsidP="00F16911">
          <w:pPr>
            <w:bidi/>
            <w:jc w:val="center"/>
            <w:rPr>
              <w:rFonts w:ascii="Simplified Arabic" w:eastAsia="Times New Roman" w:hAnsi="Simplified Arabic" w:cs="Simplified Arabic"/>
              <w:sz w:val="28"/>
              <w:szCs w:val="28"/>
              <w:rtl/>
              <w:lang w:bidi="ar-SY"/>
            </w:rPr>
          </w:pPr>
          <w:r w:rsidRPr="00021480">
            <w:rPr>
              <w:rFonts w:asciiTheme="majorHAnsi" w:eastAsia="Times New Roman" w:hAnsiTheme="majorHAnsi" w:cstheme="majorHAnsi"/>
              <w:b w:val="0"/>
              <w:bCs w:val="0"/>
              <w:sz w:val="28"/>
              <w:szCs w:val="28"/>
              <w:rtl/>
              <w:lang w:bidi="ar-SY"/>
            </w:rPr>
            <w:t>مركز أمن المعلومات</w:t>
          </w:r>
        </w:p>
      </w:tc>
      <w:tc>
        <w:tcPr>
          <w:tcW w:w="4079" w:type="dxa"/>
          <w:vAlign w:val="center"/>
          <w:hideMark/>
        </w:tcPr>
        <w:p w:rsidR="006A3CA1" w:rsidRPr="00E47DA2" w:rsidRDefault="006A3CA1" w:rsidP="00F1691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eastAsia="Times New Roman" w:hAnsi="Simplified Arabic" w:cs="Simplified Arabic"/>
              <w:b w:val="0"/>
              <w:bCs w:val="0"/>
              <w:lang w:bidi="ar-SY"/>
            </w:rPr>
          </w:pPr>
          <w:r w:rsidRPr="00E47DA2">
            <w:rPr>
              <w:rFonts w:ascii="Simplified Arabic" w:eastAsia="Times New Roman" w:hAnsi="Simplified Arabic" w:cs="Simplified Arabic"/>
              <w:noProof/>
            </w:rPr>
            <w:drawing>
              <wp:anchor distT="0" distB="0" distL="114300" distR="114300" simplePos="0" relativeHeight="251659264" behindDoc="1" locked="0" layoutInCell="1" allowOverlap="1" wp14:anchorId="6FC992A8" wp14:editId="230C29E6">
                <wp:simplePos x="0" y="0"/>
                <wp:positionH relativeFrom="margin">
                  <wp:posOffset>422910</wp:posOffset>
                </wp:positionH>
                <wp:positionV relativeFrom="paragraph">
                  <wp:posOffset>-4445</wp:posOffset>
                </wp:positionV>
                <wp:extent cx="695960" cy="627380"/>
                <wp:effectExtent l="0" t="0" r="8890" b="1270"/>
                <wp:wrapTight wrapText="bothSides">
                  <wp:wrapPolygon edited="0">
                    <wp:start x="0" y="0"/>
                    <wp:lineTo x="0" y="20988"/>
                    <wp:lineTo x="21285" y="20988"/>
                    <wp:lineTo x="21285" y="0"/>
                    <wp:lineTo x="0" y="0"/>
                  </wp:wrapPolygon>
                </wp:wrapTight>
                <wp:docPr id="8" name="Picture 8" descr="logon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logon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A3CA1" w:rsidRPr="00E47DA2" w:rsidRDefault="006A3CA1" w:rsidP="00F1691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eastAsia="Times New Roman" w:hAnsi="Simplified Arabic" w:cs="Simplified Arabic"/>
              <w:b w:val="0"/>
              <w:bCs w:val="0"/>
              <w:lang w:bidi="ar-SY"/>
            </w:rPr>
          </w:pPr>
        </w:p>
        <w:p w:rsidR="006A3CA1" w:rsidRPr="00E47DA2" w:rsidRDefault="005D15D7" w:rsidP="005D15D7">
          <w:pPr>
            <w:ind w:left="225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implified Arabic" w:eastAsia="Times New Roman" w:hAnsi="Simplified Arabic" w:cs="Simplified Arabic"/>
              <w:b w:val="0"/>
              <w:bCs w:val="0"/>
              <w:lang w:bidi="ar-SY"/>
            </w:rPr>
          </w:pPr>
          <w:r>
            <w:rPr>
              <w:rFonts w:ascii="Simplified Arabic" w:eastAsia="Times New Roman" w:hAnsi="Simplified Arabic" w:cs="Simplified Arabic" w:hint="cs"/>
              <w:b w:val="0"/>
              <w:bCs w:val="0"/>
              <w:rtl/>
              <w:lang w:bidi="ar-SY"/>
            </w:rPr>
            <w:t xml:space="preserve">     </w:t>
          </w:r>
        </w:p>
        <w:p w:rsidR="006A3CA1" w:rsidRPr="00E47DA2" w:rsidRDefault="006A3CA1" w:rsidP="00F1691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770" w:type="dxa"/>
          <w:vAlign w:val="center"/>
        </w:tcPr>
        <w:p w:rsidR="006A3CA1" w:rsidRDefault="006A3CA1" w:rsidP="00F16911">
          <w:pPr>
            <w:jc w:val="center"/>
            <w:rPr>
              <w:rFonts w:cstheme="minorHAnsi"/>
              <w:b w:val="0"/>
              <w:bCs w:val="0"/>
              <w:sz w:val="24"/>
              <w:szCs w:val="24"/>
            </w:rPr>
          </w:pPr>
        </w:p>
        <w:p w:rsidR="006A3CA1" w:rsidRDefault="006A3CA1" w:rsidP="00F16911">
          <w:pPr>
            <w:jc w:val="center"/>
            <w:rPr>
              <w:rFonts w:cstheme="minorHAnsi"/>
              <w:b w:val="0"/>
              <w:bCs w:val="0"/>
              <w:sz w:val="24"/>
              <w:szCs w:val="24"/>
            </w:rPr>
          </w:pPr>
        </w:p>
        <w:p w:rsidR="006A3CA1" w:rsidRPr="00021480" w:rsidRDefault="006A3CA1" w:rsidP="00F16911">
          <w:pPr>
            <w:jc w:val="center"/>
            <w:rPr>
              <w:rFonts w:asciiTheme="majorHAnsi" w:hAnsiTheme="majorHAnsi" w:cstheme="majorHAnsi"/>
              <w:b w:val="0"/>
              <w:bCs w:val="0"/>
              <w:sz w:val="24"/>
              <w:szCs w:val="24"/>
              <w:rtl/>
            </w:rPr>
          </w:pPr>
          <w:r w:rsidRPr="00021480"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t>Syrian Arab Republic</w:t>
          </w:r>
        </w:p>
        <w:p w:rsidR="006A3CA1" w:rsidRPr="00021480" w:rsidRDefault="006A3CA1" w:rsidP="00F16911">
          <w:pPr>
            <w:jc w:val="center"/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</w:pPr>
          <w:r w:rsidRPr="00021480"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t>Ministry of Communication and Technology</w:t>
          </w:r>
        </w:p>
        <w:p w:rsidR="006A3CA1" w:rsidRPr="00021480" w:rsidRDefault="006A3CA1" w:rsidP="00F16911">
          <w:pPr>
            <w:jc w:val="center"/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</w:pPr>
          <w:r w:rsidRPr="00021480"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t>National Agency for Network Services</w:t>
          </w:r>
        </w:p>
        <w:p w:rsidR="006A3CA1" w:rsidRPr="00021480" w:rsidRDefault="006A3CA1" w:rsidP="00F16911">
          <w:pPr>
            <w:jc w:val="center"/>
            <w:rPr>
              <w:rFonts w:asciiTheme="majorHAnsi" w:hAnsiTheme="majorHAnsi" w:cstheme="majorHAnsi"/>
              <w:b w:val="0"/>
              <w:bCs w:val="0"/>
              <w:sz w:val="24"/>
              <w:szCs w:val="24"/>
              <w:lang w:bidi="ar-SY"/>
            </w:rPr>
          </w:pPr>
          <w:r w:rsidRPr="00021480"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t>Information Security Center</w:t>
          </w:r>
        </w:p>
        <w:p w:rsidR="006A3CA1" w:rsidRPr="00CB468E" w:rsidRDefault="006A3CA1" w:rsidP="00F16911">
          <w:pPr>
            <w:jc w:val="center"/>
            <w:rPr>
              <w:rFonts w:cstheme="minorHAnsi"/>
              <w:b w:val="0"/>
              <w:bCs w:val="0"/>
              <w:sz w:val="28"/>
              <w:szCs w:val="28"/>
              <w:rtl/>
              <w:lang w:bidi="ar-SY"/>
            </w:rPr>
          </w:pPr>
        </w:p>
      </w:tc>
    </w:tr>
  </w:tbl>
  <w:p w:rsidR="006A3CA1" w:rsidRDefault="006A3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0CD"/>
    <w:multiLevelType w:val="hybridMultilevel"/>
    <w:tmpl w:val="A61C06BC"/>
    <w:lvl w:ilvl="0" w:tplc="DE483056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D69EC"/>
    <w:multiLevelType w:val="hybridMultilevel"/>
    <w:tmpl w:val="848E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5358"/>
    <w:multiLevelType w:val="hybridMultilevel"/>
    <w:tmpl w:val="16B6B26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755D4A"/>
    <w:multiLevelType w:val="hybridMultilevel"/>
    <w:tmpl w:val="4414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5675"/>
    <w:multiLevelType w:val="hybridMultilevel"/>
    <w:tmpl w:val="BB3A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7FB"/>
    <w:multiLevelType w:val="hybridMultilevel"/>
    <w:tmpl w:val="45E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557C"/>
    <w:multiLevelType w:val="hybridMultilevel"/>
    <w:tmpl w:val="43D2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6129"/>
    <w:multiLevelType w:val="hybridMultilevel"/>
    <w:tmpl w:val="7644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30E89"/>
    <w:multiLevelType w:val="hybridMultilevel"/>
    <w:tmpl w:val="130C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4"/>
    <w:rsid w:val="0000595D"/>
    <w:rsid w:val="0001631D"/>
    <w:rsid w:val="00021480"/>
    <w:rsid w:val="00042C5F"/>
    <w:rsid w:val="000436A7"/>
    <w:rsid w:val="00071277"/>
    <w:rsid w:val="00081D8E"/>
    <w:rsid w:val="000D2B89"/>
    <w:rsid w:val="000D3D81"/>
    <w:rsid w:val="000F39CB"/>
    <w:rsid w:val="00101C4F"/>
    <w:rsid w:val="00115F52"/>
    <w:rsid w:val="00116580"/>
    <w:rsid w:val="00172D35"/>
    <w:rsid w:val="00182A04"/>
    <w:rsid w:val="0019012A"/>
    <w:rsid w:val="001D16AD"/>
    <w:rsid w:val="001E0FA2"/>
    <w:rsid w:val="002015DE"/>
    <w:rsid w:val="00210954"/>
    <w:rsid w:val="00227C42"/>
    <w:rsid w:val="00245D07"/>
    <w:rsid w:val="002569F0"/>
    <w:rsid w:val="00286A86"/>
    <w:rsid w:val="00295D8A"/>
    <w:rsid w:val="00297FB7"/>
    <w:rsid w:val="002B147B"/>
    <w:rsid w:val="002C00DE"/>
    <w:rsid w:val="00316899"/>
    <w:rsid w:val="0032170C"/>
    <w:rsid w:val="00321807"/>
    <w:rsid w:val="003471F1"/>
    <w:rsid w:val="0036459B"/>
    <w:rsid w:val="00371F6F"/>
    <w:rsid w:val="00382210"/>
    <w:rsid w:val="00386C1B"/>
    <w:rsid w:val="00390A7D"/>
    <w:rsid w:val="003B488C"/>
    <w:rsid w:val="003B50CE"/>
    <w:rsid w:val="003C148A"/>
    <w:rsid w:val="003F1AC7"/>
    <w:rsid w:val="003F6394"/>
    <w:rsid w:val="0046220E"/>
    <w:rsid w:val="004A302D"/>
    <w:rsid w:val="004C4A4D"/>
    <w:rsid w:val="004F711D"/>
    <w:rsid w:val="0050028D"/>
    <w:rsid w:val="00521CC0"/>
    <w:rsid w:val="00542F66"/>
    <w:rsid w:val="00560FF8"/>
    <w:rsid w:val="00565ED7"/>
    <w:rsid w:val="005C5000"/>
    <w:rsid w:val="005D15D7"/>
    <w:rsid w:val="0060259D"/>
    <w:rsid w:val="0061121F"/>
    <w:rsid w:val="00651C81"/>
    <w:rsid w:val="00660207"/>
    <w:rsid w:val="00664093"/>
    <w:rsid w:val="006670FB"/>
    <w:rsid w:val="006738B6"/>
    <w:rsid w:val="00677687"/>
    <w:rsid w:val="006A3CA1"/>
    <w:rsid w:val="006E1678"/>
    <w:rsid w:val="006E6E81"/>
    <w:rsid w:val="006E7152"/>
    <w:rsid w:val="007165AA"/>
    <w:rsid w:val="00724F27"/>
    <w:rsid w:val="007320A5"/>
    <w:rsid w:val="007348FE"/>
    <w:rsid w:val="00736E32"/>
    <w:rsid w:val="00760709"/>
    <w:rsid w:val="00775F47"/>
    <w:rsid w:val="007B63F3"/>
    <w:rsid w:val="008152BE"/>
    <w:rsid w:val="00837D20"/>
    <w:rsid w:val="00894FB9"/>
    <w:rsid w:val="00895BB0"/>
    <w:rsid w:val="008A3DCA"/>
    <w:rsid w:val="008A4E9A"/>
    <w:rsid w:val="008A6897"/>
    <w:rsid w:val="008B0779"/>
    <w:rsid w:val="008D2BDF"/>
    <w:rsid w:val="008E3E88"/>
    <w:rsid w:val="008F59B3"/>
    <w:rsid w:val="00922FE4"/>
    <w:rsid w:val="0095753B"/>
    <w:rsid w:val="00960402"/>
    <w:rsid w:val="009708B0"/>
    <w:rsid w:val="00977116"/>
    <w:rsid w:val="00977662"/>
    <w:rsid w:val="00987E50"/>
    <w:rsid w:val="009C1866"/>
    <w:rsid w:val="009C4E5B"/>
    <w:rsid w:val="009C586B"/>
    <w:rsid w:val="009C6A67"/>
    <w:rsid w:val="009D32BA"/>
    <w:rsid w:val="009E20B6"/>
    <w:rsid w:val="009F6D61"/>
    <w:rsid w:val="00A1025A"/>
    <w:rsid w:val="00A244C8"/>
    <w:rsid w:val="00A245C9"/>
    <w:rsid w:val="00A25238"/>
    <w:rsid w:val="00A25573"/>
    <w:rsid w:val="00A414A9"/>
    <w:rsid w:val="00A434DC"/>
    <w:rsid w:val="00A67843"/>
    <w:rsid w:val="00A84BC1"/>
    <w:rsid w:val="00AC33D5"/>
    <w:rsid w:val="00AC7981"/>
    <w:rsid w:val="00AE408C"/>
    <w:rsid w:val="00AF20A4"/>
    <w:rsid w:val="00AF2594"/>
    <w:rsid w:val="00AF73AA"/>
    <w:rsid w:val="00B11146"/>
    <w:rsid w:val="00B2615F"/>
    <w:rsid w:val="00B369AA"/>
    <w:rsid w:val="00B71D71"/>
    <w:rsid w:val="00B83194"/>
    <w:rsid w:val="00BA07BB"/>
    <w:rsid w:val="00BA75A0"/>
    <w:rsid w:val="00BA790B"/>
    <w:rsid w:val="00BC31C5"/>
    <w:rsid w:val="00BD0BDC"/>
    <w:rsid w:val="00BD28C8"/>
    <w:rsid w:val="00BD482A"/>
    <w:rsid w:val="00BD4C14"/>
    <w:rsid w:val="00BD69DC"/>
    <w:rsid w:val="00C02559"/>
    <w:rsid w:val="00C27F54"/>
    <w:rsid w:val="00C8152C"/>
    <w:rsid w:val="00C83571"/>
    <w:rsid w:val="00C844E7"/>
    <w:rsid w:val="00CA3445"/>
    <w:rsid w:val="00CA62F1"/>
    <w:rsid w:val="00CB468E"/>
    <w:rsid w:val="00CF06F2"/>
    <w:rsid w:val="00D20FD1"/>
    <w:rsid w:val="00D24B51"/>
    <w:rsid w:val="00D2790B"/>
    <w:rsid w:val="00D41978"/>
    <w:rsid w:val="00D429DB"/>
    <w:rsid w:val="00D450C7"/>
    <w:rsid w:val="00D511D4"/>
    <w:rsid w:val="00DA1C42"/>
    <w:rsid w:val="00DA67B3"/>
    <w:rsid w:val="00DA7406"/>
    <w:rsid w:val="00DB47BC"/>
    <w:rsid w:val="00DB494F"/>
    <w:rsid w:val="00DD79D3"/>
    <w:rsid w:val="00DF1DAC"/>
    <w:rsid w:val="00E13884"/>
    <w:rsid w:val="00E21F81"/>
    <w:rsid w:val="00E22AA7"/>
    <w:rsid w:val="00E46938"/>
    <w:rsid w:val="00E47DA2"/>
    <w:rsid w:val="00E64735"/>
    <w:rsid w:val="00E74839"/>
    <w:rsid w:val="00E93854"/>
    <w:rsid w:val="00E938EE"/>
    <w:rsid w:val="00EA6EC0"/>
    <w:rsid w:val="00EB3A5B"/>
    <w:rsid w:val="00EC31D2"/>
    <w:rsid w:val="00EC3523"/>
    <w:rsid w:val="00EC4494"/>
    <w:rsid w:val="00ED5951"/>
    <w:rsid w:val="00EE6664"/>
    <w:rsid w:val="00EF2BCA"/>
    <w:rsid w:val="00F01A9B"/>
    <w:rsid w:val="00F10119"/>
    <w:rsid w:val="00F16911"/>
    <w:rsid w:val="00F73176"/>
    <w:rsid w:val="00FB1AD9"/>
    <w:rsid w:val="00FB3D77"/>
    <w:rsid w:val="00FC247B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25A38-FB38-4FF2-9750-824E458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E4"/>
  </w:style>
  <w:style w:type="paragraph" w:styleId="Heading1">
    <w:name w:val="heading 1"/>
    <w:basedOn w:val="Normal"/>
    <w:next w:val="Normal"/>
    <w:link w:val="Heading1Char"/>
    <w:uiPriority w:val="9"/>
    <w:qFormat/>
    <w:rsid w:val="0000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CB4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CB46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CB4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A2"/>
  </w:style>
  <w:style w:type="paragraph" w:styleId="Footer">
    <w:name w:val="footer"/>
    <w:basedOn w:val="Normal"/>
    <w:link w:val="FooterChar"/>
    <w:uiPriority w:val="99"/>
    <w:unhideWhenUsed/>
    <w:rsid w:val="00E4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A2"/>
  </w:style>
  <w:style w:type="table" w:styleId="GridTable2-Accent4">
    <w:name w:val="Grid Table 2 Accent 4"/>
    <w:basedOn w:val="TableNormal"/>
    <w:uiPriority w:val="47"/>
    <w:rsid w:val="00F16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F16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6911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95753B"/>
  </w:style>
  <w:style w:type="paragraph" w:styleId="ListParagraph">
    <w:name w:val="List Paragraph"/>
    <w:basedOn w:val="Normal"/>
    <w:uiPriority w:val="34"/>
    <w:qFormat/>
    <w:rsid w:val="001E0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9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90B"/>
    <w:rPr>
      <w:i/>
      <w:iCs/>
      <w:color w:val="5B9BD5" w:themeColor="accent1"/>
    </w:rPr>
  </w:style>
  <w:style w:type="table" w:styleId="GridTable4">
    <w:name w:val="Grid Table 4"/>
    <w:basedOn w:val="TableNormal"/>
    <w:uiPriority w:val="49"/>
    <w:rsid w:val="00E93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40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25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2D3192"/>
            <w:right w:val="none" w:sz="0" w:space="0" w:color="auto"/>
          </w:divBdr>
          <w:divsChild>
            <w:div w:id="18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</w:divsChild>
            </w:div>
          </w:divsChild>
        </w:div>
        <w:div w:id="1562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95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c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 Kneneh</dc:creator>
  <cp:keywords/>
  <dc:description/>
  <cp:lastModifiedBy>salman</cp:lastModifiedBy>
  <cp:revision>8</cp:revision>
  <cp:lastPrinted>2021-09-06T08:03:00Z</cp:lastPrinted>
  <dcterms:created xsi:type="dcterms:W3CDTF">2021-09-05T11:32:00Z</dcterms:created>
  <dcterms:modified xsi:type="dcterms:W3CDTF">2021-09-06T08:03:00Z</dcterms:modified>
</cp:coreProperties>
</file>